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andard"/>
        <w:jc w:val="center"/>
        <w:rPr>
          <w:rFonts w:cs="Arial"/>
        </w:rPr>
      </w:pPr>
      <w:r>
        <w:rPr>
          <w:rFonts w:cs="Arial"/>
        </w:rPr>
      </w:r>
    </w:p>
    <w:p>
      <w:pPr>
        <w:pStyle w:val="Normal"/>
        <w:jc w:val="center"/>
        <w:rPr>
          <w:rFonts w:ascii="Arial" w:hAnsi="Arial"/>
          <w:b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ANEXO ÚNICO</w:t>
      </w:r>
    </w:p>
    <w:p>
      <w:pPr>
        <w:pStyle w:val="Normal"/>
        <w:jc w:val="center"/>
        <w:rPr/>
      </w:pPr>
      <w:r>
        <w:rPr>
          <w:rFonts w:ascii="Arial" w:hAnsi="Arial"/>
          <w:color w:val="000000"/>
          <w:sz w:val="22"/>
          <w:szCs w:val="22"/>
        </w:rPr>
        <w:t xml:space="preserve">(Ato n. </w:t>
      </w:r>
      <w:r>
        <w:rPr>
          <w:rFonts w:eastAsia="Times New Roman" w:cs="Times New Roman" w:ascii="Arial" w:hAnsi="Arial"/>
          <w:color w:val="000000"/>
          <w:sz w:val="22"/>
          <w:szCs w:val="22"/>
          <w:lang w:val="pt-BR" w:eastAsia="zh-CN" w:bidi="ar-SA"/>
        </w:rPr>
        <w:t>162</w:t>
      </w:r>
      <w:r>
        <w:rPr>
          <w:rFonts w:ascii="Arial" w:hAnsi="Arial"/>
          <w:color w:val="000000"/>
          <w:sz w:val="22"/>
          <w:szCs w:val="22"/>
        </w:rPr>
        <w:t>/2021/PGJ)</w:t>
      </w:r>
    </w:p>
    <w:p>
      <w:pPr>
        <w:pStyle w:val="Normal"/>
        <w:jc w:val="center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jc w:val="center"/>
        <w:rPr>
          <w:rFonts w:ascii="Arial" w:hAnsi="Arial"/>
          <w:b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POLÍTICA INSTITUCIONAL DOS SERVIÇOS</w:t>
      </w:r>
    </w:p>
    <w:p>
      <w:pPr>
        <w:pStyle w:val="Normal"/>
        <w:jc w:val="center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DE </w:t>
      </w:r>
      <w:r>
        <w:rPr>
          <w:rFonts w:ascii="Arial" w:hAnsi="Arial"/>
          <w:b/>
          <w:bCs/>
          <w:i/>
          <w:iCs/>
          <w:color w:val="000000"/>
          <w:sz w:val="22"/>
          <w:szCs w:val="22"/>
        </w:rPr>
        <w:t>VIRTUAL PRIVATE NETWORK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 (VPN)</w:t>
      </w:r>
    </w:p>
    <w:p>
      <w:pPr>
        <w:pStyle w:val="Ttulo1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Escopo</w:t>
      </w:r>
    </w:p>
    <w:p>
      <w:pPr>
        <w:pStyle w:val="Normal"/>
        <w:numPr>
          <w:ilvl w:val="1"/>
          <w:numId w:val="2"/>
        </w:numPr>
        <w:ind w:left="0" w:hanging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Esta política estabelece as normas gerais que regem os serviços de </w:t>
      </w:r>
      <w:r>
        <w:rPr>
          <w:rFonts w:cs="Arial" w:ascii="Arial" w:hAnsi="Arial"/>
          <w:i/>
          <w:iCs/>
          <w:color w:val="000000"/>
          <w:sz w:val="22"/>
          <w:szCs w:val="22"/>
        </w:rPr>
        <w:t>Virtual Private Network</w:t>
      </w:r>
      <w:r>
        <w:rPr>
          <w:rFonts w:cs="Arial" w:ascii="Arial" w:hAnsi="Arial"/>
          <w:color w:val="000000"/>
          <w:sz w:val="22"/>
          <w:szCs w:val="22"/>
        </w:rPr>
        <w:t xml:space="preserve"> (VPN) </w:t>
      </w:r>
      <w:r>
        <w:rPr>
          <w:rFonts w:ascii="Arial" w:hAnsi="Arial"/>
          <w:color w:val="000000"/>
          <w:sz w:val="22"/>
          <w:szCs w:val="22"/>
        </w:rPr>
        <w:t>que dão acesso remoto à rede do Ministério Público de Santa Catarina (MPSC).</w:t>
      </w:r>
    </w:p>
    <w:p>
      <w:pPr>
        <w:pStyle w:val="Normal"/>
        <w:jc w:val="both"/>
        <w:rPr>
          <w:rFonts w:ascii="Arial" w:hAnsi="Arial"/>
          <w:strike/>
          <w:color w:val="000000"/>
          <w:sz w:val="22"/>
          <w:szCs w:val="22"/>
        </w:rPr>
      </w:pPr>
      <w:r>
        <w:rPr>
          <w:rFonts w:ascii="Arial" w:hAnsi="Arial"/>
          <w:strike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1.2. O acesso remoto à rede do MPSC, por parte dos colaboradores, contratados e conveniados, deverá ocorrer, por meio dos serviços de VPN, conforme definido nesta política e em normas complementares.</w:t>
      </w:r>
    </w:p>
    <w:p>
      <w:pPr>
        <w:pStyle w:val="Ttulo1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Competência</w:t>
      </w:r>
    </w:p>
    <w:p>
      <w:pPr>
        <w:pStyle w:val="Normal"/>
        <w:numPr>
          <w:ilvl w:val="1"/>
          <w:numId w:val="2"/>
        </w:numPr>
        <w:ind w:left="0" w:hanging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 Gerência de Segurança da Informação e Gestão de Riscos (GESEG) é a única unidade organizacional com competência para prover serviços de VPN para o MPSC. </w:t>
      </w:r>
    </w:p>
    <w:p>
      <w:pPr>
        <w:pStyle w:val="Normal"/>
        <w:ind w:left="363" w:hanging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numPr>
          <w:ilvl w:val="1"/>
          <w:numId w:val="2"/>
        </w:numPr>
        <w:ind w:left="0" w:hanging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É vedado o uso de serviços e tecnologias que forneçam acesso remoto a computadores e servidores internos, suas telas, dispositivos de entrada (tais como: teclado e </w:t>
      </w:r>
      <w:r>
        <w:rPr>
          <w:rFonts w:ascii="Arial" w:hAnsi="Arial"/>
          <w:i/>
          <w:iCs/>
          <w:color w:val="000000"/>
          <w:sz w:val="22"/>
          <w:szCs w:val="22"/>
        </w:rPr>
        <w:t>mouse</w:t>
      </w:r>
      <w:r>
        <w:rPr>
          <w:rFonts w:ascii="Arial" w:hAnsi="Arial"/>
          <w:color w:val="000000"/>
          <w:sz w:val="22"/>
          <w:szCs w:val="22"/>
        </w:rPr>
        <w:t>), sistema de arquivos e interface de comandos (</w:t>
      </w:r>
      <w:r>
        <w:rPr>
          <w:rFonts w:ascii="Arial" w:hAnsi="Arial"/>
          <w:i/>
          <w:iCs/>
          <w:color w:val="000000"/>
          <w:sz w:val="22"/>
          <w:szCs w:val="22"/>
        </w:rPr>
        <w:t>shell</w:t>
      </w:r>
      <w:r>
        <w:rPr>
          <w:rFonts w:ascii="Arial" w:hAnsi="Arial"/>
          <w:color w:val="000000"/>
          <w:sz w:val="22"/>
          <w:szCs w:val="22"/>
        </w:rPr>
        <w:t>) diversos daqueles instituídos pela Coordenadoria de Tecnologia da Informação (COTEC).</w:t>
      </w:r>
    </w:p>
    <w:p>
      <w:pPr>
        <w:pStyle w:val="Normal"/>
        <w:ind w:left="363" w:hanging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numPr>
          <w:ilvl w:val="1"/>
          <w:numId w:val="2"/>
        </w:numPr>
        <w:ind w:left="0" w:hanging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O uso de VPNs originadas no ambiente interno com destino ao ambiente externo e/ou de terceiros só será permitido se demonstrada a excepcionalidade e a finalidade de interesse público, em requerimento a ser decidido pelo Secretário-Geral do Ministério Público. </w:t>
      </w:r>
    </w:p>
    <w:p>
      <w:pPr>
        <w:pStyle w:val="Normal"/>
        <w:ind w:left="363" w:hanging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numPr>
          <w:ilvl w:val="1"/>
          <w:numId w:val="2"/>
        </w:numPr>
        <w:ind w:left="0" w:hanging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As exceções às regras previstas nesta Política, no Termo de Uso dos Serviços de VPN e no Termo de Privacidade serão resolvidas pelo Secretário-Geral do Ministério Público, após apreciação de parecer técnico da Gerência de Segurança da Informação e Gestão de Riscos (GESEG). As exceções serão revisadas anualmente.</w:t>
      </w:r>
    </w:p>
    <w:p>
      <w:pPr>
        <w:pStyle w:val="Ttulo1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Características do serviço</w:t>
      </w:r>
    </w:p>
    <w:p>
      <w:pPr>
        <w:pStyle w:val="Normal"/>
        <w:numPr>
          <w:ilvl w:val="1"/>
          <w:numId w:val="2"/>
        </w:numPr>
        <w:ind w:left="0" w:hanging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Os serviços de VPN são considerados serviços de tecnologia da informação que conectam computadores remotos à rede do MPSC, permitindo a comunicação em nível de rede com recursos internos.</w:t>
      </w:r>
    </w:p>
    <w:p>
      <w:pPr>
        <w:pStyle w:val="Normal"/>
        <w:ind w:left="363" w:hanging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numPr>
          <w:ilvl w:val="1"/>
          <w:numId w:val="2"/>
        </w:numPr>
        <w:ind w:left="0" w:hanging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O tráfego deverá ser criptografado com tecnologias suficientes para garantir a confidencialidade das mensagens quando estas são transmitidas.</w:t>
      </w:r>
    </w:p>
    <w:p>
      <w:pPr>
        <w:pStyle w:val="Ttulo1"/>
        <w:jc w:val="both"/>
        <w:rPr>
          <w:sz w:val="24"/>
          <w:szCs w:val="24"/>
        </w:rPr>
      </w:pPr>
      <w:r>
        <w:rPr>
          <w:rFonts w:ascii="Arial" w:hAnsi="Arial"/>
          <w:color w:val="000000"/>
          <w:sz w:val="22"/>
          <w:szCs w:val="22"/>
        </w:rPr>
        <w:t>Termo de uso</w:t>
      </w:r>
    </w:p>
    <w:p>
      <w:pPr>
        <w:pStyle w:val="Normal"/>
        <w:numPr>
          <w:ilvl w:val="1"/>
          <w:numId w:val="2"/>
        </w:numPr>
        <w:ind w:left="0" w:hanging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O uso dos serviços será regulado pelas regras estabelecidas no Termo de Uso dos Serviços de VPN, a ser editado e divulgado pela Coordenadoria de Tecnologia da Informação, o qual ficará disponível para consulta, em seção própria da FAQ, no portal da Central de Serviços de Tecnologia da Informação (CSTI).</w:t>
      </w:r>
    </w:p>
    <w:p>
      <w:pPr>
        <w:pStyle w:val="Normal"/>
        <w:ind w:left="363" w:hanging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numPr>
          <w:ilvl w:val="1"/>
          <w:numId w:val="2"/>
        </w:numPr>
        <w:ind w:left="0" w:hanging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O termo de uso definirá as condições aplicáveis para o acesso, os níveis de serviço, o uso ético e legal, os procedimentos e as questões de segurança da informação.</w:t>
      </w:r>
    </w:p>
    <w:p>
      <w:pPr>
        <w:pStyle w:val="Normal"/>
        <w:ind w:left="363" w:hanging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numPr>
          <w:ilvl w:val="1"/>
          <w:numId w:val="2"/>
        </w:numPr>
        <w:ind w:left="0" w:hanging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O acesso poderá ser limitado ou bloqueado em decorrência do descumprimento das regras previstas no Termo de Uso do Serviço de VPN.</w:t>
      </w:r>
    </w:p>
    <w:p>
      <w:pPr>
        <w:pStyle w:val="Ttulo1"/>
        <w:jc w:val="both"/>
        <w:rPr>
          <w:sz w:val="24"/>
          <w:szCs w:val="24"/>
        </w:rPr>
      </w:pPr>
      <w:r>
        <w:rPr>
          <w:rFonts w:ascii="Arial" w:hAnsi="Arial"/>
          <w:color w:val="000000"/>
          <w:sz w:val="22"/>
          <w:szCs w:val="22"/>
        </w:rPr>
        <w:t>Termo de privacidade</w:t>
      </w:r>
    </w:p>
    <w:p>
      <w:pPr>
        <w:pStyle w:val="Normal"/>
        <w:numPr>
          <w:ilvl w:val="1"/>
          <w:numId w:val="2"/>
        </w:numPr>
        <w:ind w:left="0" w:hanging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As regras de privacidade serão definidas no Termo de Privacidade dos Serviços de VPN, a ser proposto pela Coordenadoria de Tecnologia da Informação e aprovado pelo Secretário-Geral do Ministério Público, devendo ficar disponível para consulta, em seção própria da FAQ, no portal da Central de Serviços de Tecnologia da Informação (CSTI).</w:t>
      </w:r>
    </w:p>
    <w:p>
      <w:pPr>
        <w:pStyle w:val="Normal"/>
        <w:ind w:left="363" w:hanging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numPr>
          <w:ilvl w:val="1"/>
          <w:numId w:val="2"/>
        </w:numPr>
        <w:ind w:left="0" w:hanging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 privacidade nos serviços de VPN deve se manter aderente à Lei Geral de Proteção de Dados (Lei n. 13.709/2018) e ter seus termos redigidos de forma clara.</w:t>
      </w:r>
    </w:p>
    <w:p>
      <w:pPr>
        <w:pStyle w:val="Normal"/>
        <w:ind w:left="363" w:hanging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numPr>
          <w:ilvl w:val="1"/>
          <w:numId w:val="2"/>
        </w:numPr>
        <w:ind w:left="0" w:hanging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Uma vez conectado à rede do MPSC, por meio dos servidores de VPN, o terminal utilizado no acesso poderá ser tratado de forma equivalente a terminais corporativos, para fins de segurança da informação, estando sujeito a validações de estado, correções automáticas e compartilhamento de dados.</w:t>
      </w:r>
    </w:p>
    <w:p>
      <w:pPr>
        <w:pStyle w:val="PargrafodaLista"/>
        <w:ind w:left="0" w:hang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numPr>
          <w:ilvl w:val="1"/>
          <w:numId w:val="2"/>
        </w:numPr>
        <w:ind w:left="0" w:hanging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Poderão ser coletados dados do usuário para fins da correta execução dos serviços de VPN, sua usabilidade e para a segurança da informação dos ativos de TI e de informação do MPSC.</w:t>
      </w:r>
    </w:p>
    <w:p>
      <w:pPr>
        <w:pStyle w:val="Normal"/>
        <w:ind w:left="363" w:hanging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numPr>
          <w:ilvl w:val="1"/>
          <w:numId w:val="2"/>
        </w:numPr>
        <w:ind w:left="0" w:hanging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Os dados coletados estão sujeitos a análises automatizadas e/ou humanas, observado o disposto no Termo de Privacidade. O usuário poderá ser contactado em razão de algum evento ou condição relacionados aos dados pessoais tratados.</w:t>
      </w:r>
    </w:p>
    <w:p>
      <w:pPr>
        <w:pStyle w:val="Normal"/>
        <w:ind w:left="363" w:hanging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numPr>
          <w:ilvl w:val="1"/>
          <w:numId w:val="2"/>
        </w:numPr>
        <w:ind w:left="0" w:hanging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O histórico de navegação do usuário na </w:t>
      </w:r>
      <w:r>
        <w:rPr>
          <w:rFonts w:ascii="Arial" w:hAnsi="Arial"/>
          <w:i/>
          <w:iCs/>
          <w:color w:val="000000"/>
          <w:sz w:val="22"/>
          <w:szCs w:val="22"/>
        </w:rPr>
        <w:t>Internet</w:t>
      </w:r>
      <w:r>
        <w:rPr>
          <w:rFonts w:ascii="Arial" w:hAnsi="Arial"/>
          <w:color w:val="000000"/>
          <w:sz w:val="22"/>
          <w:szCs w:val="22"/>
        </w:rPr>
        <w:t xml:space="preserve"> e na rede interna do MPSC, bem como o acesso a serviços em rede, é uma informação passível de tratamento pelos serviços de VPN, observado o disposto no Termo de Privacidade.</w:t>
      </w:r>
    </w:p>
    <w:p>
      <w:pPr>
        <w:pStyle w:val="Normal"/>
        <w:ind w:left="363" w:hanging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numPr>
          <w:ilvl w:val="1"/>
          <w:numId w:val="2"/>
        </w:numPr>
        <w:ind w:left="0" w:hanging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Os serviços de VPN não poderão tratar documentos e arquivos pessoais armazenados na memória não volátil do terminal.</w:t>
      </w:r>
    </w:p>
    <w:p>
      <w:pPr>
        <w:pStyle w:val="Ttulo1"/>
        <w:jc w:val="both"/>
        <w:rPr>
          <w:sz w:val="24"/>
          <w:szCs w:val="24"/>
        </w:rPr>
      </w:pPr>
      <w:r>
        <w:rPr>
          <w:rFonts w:ascii="Arial" w:hAnsi="Arial"/>
          <w:color w:val="000000"/>
          <w:sz w:val="22"/>
          <w:szCs w:val="22"/>
        </w:rPr>
        <w:t>Habilitação do acesso</w:t>
      </w:r>
    </w:p>
    <w:p>
      <w:pPr>
        <w:pStyle w:val="Normal"/>
        <w:numPr>
          <w:ilvl w:val="1"/>
          <w:numId w:val="2"/>
        </w:numPr>
        <w:ind w:left="0" w:hanging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 habilitação do acesso aos serviços de VPN será definida pelo Secretário-Geral do Ministério Público e constará no termo de uso.</w:t>
      </w:r>
    </w:p>
    <w:p>
      <w:pPr>
        <w:pStyle w:val="Normal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numPr>
          <w:ilvl w:val="1"/>
          <w:numId w:val="2"/>
        </w:numPr>
        <w:ind w:left="0" w:hanging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 habilitação levará em conta o tipo de vínculo da pessoa com a Instituição, podendo considerar as categorias de habilitado por padrão, habilitado sob demanda, habilitado de acordo com evento ou desabilitado.</w:t>
      </w:r>
    </w:p>
    <w:p>
      <w:pPr>
        <w:pStyle w:val="Ttulo1"/>
        <w:jc w:val="both"/>
        <w:rPr>
          <w:sz w:val="24"/>
          <w:szCs w:val="24"/>
        </w:rPr>
      </w:pPr>
      <w:r>
        <w:rPr>
          <w:rFonts w:ascii="Arial" w:hAnsi="Arial"/>
          <w:color w:val="000000"/>
          <w:sz w:val="22"/>
          <w:szCs w:val="22"/>
        </w:rPr>
        <w:t>Permissões de acesso</w:t>
      </w:r>
    </w:p>
    <w:p>
      <w:pPr>
        <w:pStyle w:val="Normal"/>
        <w:numPr>
          <w:ilvl w:val="1"/>
          <w:numId w:val="2"/>
        </w:numPr>
        <w:ind w:left="0" w:hanging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Os recursos aos quais o usuário terá acesso estarão organizados em perfis padronizados. </w:t>
      </w:r>
    </w:p>
    <w:p>
      <w:pPr>
        <w:pStyle w:val="Normal"/>
        <w:ind w:left="363" w:hanging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numPr>
          <w:ilvl w:val="1"/>
          <w:numId w:val="2"/>
        </w:numPr>
        <w:ind w:left="0" w:hanging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 associação entre o tipo de usuário e o perfil bem como exceções à associação padrão serão definidos no termo de uso.</w:t>
      </w:r>
    </w:p>
    <w:p>
      <w:pPr>
        <w:pStyle w:val="Normal"/>
        <w:ind w:left="363" w:hanging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numPr>
          <w:ilvl w:val="1"/>
          <w:numId w:val="2"/>
        </w:numPr>
        <w:ind w:left="0" w:hanging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As permissões de acesso deverão seguir o princípio do privilégio mínimo.</w:t>
      </w:r>
    </w:p>
    <w:p>
      <w:pPr>
        <w:pStyle w:val="Ttulo1"/>
        <w:jc w:val="both"/>
        <w:rPr>
          <w:sz w:val="24"/>
          <w:szCs w:val="24"/>
        </w:rPr>
      </w:pPr>
      <w:r>
        <w:rPr>
          <w:rFonts w:ascii="Arial" w:hAnsi="Arial"/>
          <w:color w:val="000000"/>
          <w:sz w:val="22"/>
          <w:szCs w:val="22"/>
        </w:rPr>
        <w:t>Responsabilidades dos usuários</w:t>
      </w:r>
    </w:p>
    <w:p>
      <w:pPr>
        <w:pStyle w:val="Normal"/>
        <w:numPr>
          <w:ilvl w:val="1"/>
          <w:numId w:val="2"/>
        </w:numPr>
        <w:ind w:left="0" w:hanging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Ao utilizar os serviços de VPN, o terminal do usuário passa a atuar como uma extensão da rede de computadores do MPSC, oferecendo riscos inerentes a essa conectividade. Por consequência, tanto o terminal quanto o usuário estão sujeitos às mesmas normas e devem seguir às mesmas orientações e guias aplicáveis aos equipamentos de propriedade da Instituição e/ou conectados à rede por outros meios e estão sujeitos à auditoria do uso dos serviços em alinhamento à sua política.</w:t>
      </w:r>
    </w:p>
    <w:p>
      <w:pPr>
        <w:pStyle w:val="Normal"/>
        <w:ind w:left="363" w:hanging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numPr>
          <w:ilvl w:val="1"/>
          <w:numId w:val="2"/>
        </w:numPr>
        <w:ind w:left="0" w:hanging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O uso dos serviços de VPN deve atender estritamente ao interesse público, em alinhamento com as atribuições do colaborador, competências do setor onde trabalha ou finalidade do contrato ou convênio.</w:t>
      </w:r>
    </w:p>
    <w:p>
      <w:pPr>
        <w:pStyle w:val="Normal"/>
        <w:ind w:left="363" w:hanging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numPr>
          <w:ilvl w:val="1"/>
          <w:numId w:val="2"/>
        </w:numPr>
        <w:ind w:left="0" w:hanging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O usuário é responsável por manter seu computador configurado para estar em conformidade com as normas da Instituição.</w:t>
      </w:r>
    </w:p>
    <w:p>
      <w:pPr>
        <w:pStyle w:val="Normal"/>
        <w:ind w:left="363" w:hanging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numPr>
          <w:ilvl w:val="1"/>
          <w:numId w:val="2"/>
        </w:numPr>
        <w:ind w:left="0" w:hanging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O acesso aos serviços de VPN é pessoal e intransferível, sendo vedado o compartilhamento de conta ou de sessão com qualquer pessoa.</w:t>
      </w:r>
    </w:p>
    <w:p>
      <w:pPr>
        <w:pStyle w:val="Normal"/>
        <w:ind w:left="363" w:hanging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numPr>
          <w:ilvl w:val="1"/>
          <w:numId w:val="2"/>
        </w:numPr>
        <w:ind w:left="0" w:hanging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O usuário deve zelar pelo cumprimento das normas e ser diligente para que terceiros não tenham acesso ao seu terminal durante o uso dos serviços de VPN.</w:t>
      </w:r>
    </w:p>
    <w:p>
      <w:pPr>
        <w:pStyle w:val="Ttulo1"/>
        <w:jc w:val="both"/>
        <w:rPr>
          <w:sz w:val="24"/>
          <w:szCs w:val="24"/>
        </w:rPr>
      </w:pPr>
      <w:r>
        <w:rPr>
          <w:rFonts w:ascii="Arial" w:hAnsi="Arial"/>
          <w:color w:val="000000"/>
          <w:sz w:val="22"/>
          <w:szCs w:val="22"/>
        </w:rPr>
        <w:t>Definições</w:t>
      </w:r>
    </w:p>
    <w:p>
      <w:pPr>
        <w:pStyle w:val="Normal"/>
        <w:numPr>
          <w:ilvl w:val="1"/>
          <w:numId w:val="2"/>
        </w:numPr>
        <w:ind w:left="0" w:hanging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i/>
          <w:iCs/>
          <w:color w:val="000000"/>
          <w:sz w:val="22"/>
          <w:szCs w:val="22"/>
        </w:rPr>
        <w:t xml:space="preserve">Virtual Private Network </w:t>
      </w:r>
      <w:r>
        <w:rPr>
          <w:rFonts w:ascii="Arial" w:hAnsi="Arial"/>
          <w:b/>
          <w:color w:val="000000"/>
          <w:sz w:val="22"/>
          <w:szCs w:val="22"/>
        </w:rPr>
        <w:t xml:space="preserve">(VPN): </w:t>
      </w:r>
      <w:r>
        <w:rPr>
          <w:rFonts w:ascii="Arial" w:hAnsi="Arial"/>
          <w:color w:val="000000"/>
          <w:sz w:val="22"/>
          <w:szCs w:val="22"/>
        </w:rPr>
        <w:t>rede privada virtual</w:t>
      </w:r>
      <w:r>
        <w:rPr>
          <w:rFonts w:ascii="Arial" w:hAnsi="Arial"/>
          <w:b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consistente em</w:t>
      </w:r>
      <w:r>
        <w:rPr>
          <w:rFonts w:ascii="Arial" w:hAnsi="Arial"/>
          <w:b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serviço de tecnologia da informação que conecta computadores remotos à rede do MPSC, permitindo a comunicação em nível de rede com recursos internos.</w:t>
      </w:r>
    </w:p>
    <w:p>
      <w:pPr>
        <w:pStyle w:val="Normal"/>
        <w:jc w:val="both"/>
        <w:rPr>
          <w:rFonts w:ascii="Arial" w:hAnsi="Arial"/>
          <w:b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</w:r>
    </w:p>
    <w:p>
      <w:pPr>
        <w:pStyle w:val="Normal"/>
        <w:numPr>
          <w:ilvl w:val="1"/>
          <w:numId w:val="2"/>
        </w:numPr>
        <w:ind w:left="0" w:hanging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 xml:space="preserve">Rede do MPSC: </w:t>
      </w:r>
      <w:r>
        <w:rPr>
          <w:rFonts w:ascii="Arial" w:hAnsi="Arial"/>
          <w:color w:val="000000"/>
          <w:sz w:val="22"/>
          <w:szCs w:val="22"/>
        </w:rPr>
        <w:t>refere-se às redes locais (LAN), de datacenter e redes de terceiros acessíveis por meio dos serviços de VPN.</w:t>
      </w:r>
    </w:p>
    <w:p>
      <w:pPr>
        <w:pStyle w:val="Normal"/>
        <w:ind w:left="363" w:hanging="0"/>
        <w:jc w:val="both"/>
        <w:rPr>
          <w:rFonts w:ascii="Arial" w:hAnsi="Arial"/>
          <w:b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</w:r>
    </w:p>
    <w:p>
      <w:pPr>
        <w:pStyle w:val="Normal"/>
        <w:numPr>
          <w:ilvl w:val="1"/>
          <w:numId w:val="2"/>
        </w:numPr>
        <w:ind w:left="0" w:hanging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Terminal</w:t>
      </w:r>
      <w:r>
        <w:rPr>
          <w:rFonts w:ascii="Arial" w:hAnsi="Arial"/>
          <w:color w:val="000000"/>
          <w:sz w:val="22"/>
          <w:szCs w:val="22"/>
        </w:rPr>
        <w:t xml:space="preserve">: dispositivo computacional conectado por meio dos serviços de VPN. Ex.: computador, </w:t>
      </w:r>
      <w:r>
        <w:rPr>
          <w:rFonts w:ascii="Arial" w:hAnsi="Arial"/>
          <w:i/>
          <w:iCs/>
          <w:color w:val="000000"/>
          <w:sz w:val="22"/>
          <w:szCs w:val="22"/>
        </w:rPr>
        <w:t>tablet</w:t>
      </w:r>
      <w:r>
        <w:rPr>
          <w:rFonts w:ascii="Arial" w:hAnsi="Arial"/>
          <w:color w:val="000000"/>
          <w:sz w:val="22"/>
          <w:szCs w:val="22"/>
        </w:rPr>
        <w:t xml:space="preserve">, </w:t>
      </w:r>
      <w:r>
        <w:rPr>
          <w:rFonts w:ascii="Arial" w:hAnsi="Arial"/>
          <w:i/>
          <w:iCs/>
          <w:color w:val="000000"/>
          <w:sz w:val="22"/>
          <w:szCs w:val="22"/>
        </w:rPr>
        <w:t>smartphone</w:t>
      </w:r>
      <w:r>
        <w:rPr>
          <w:rFonts w:ascii="Arial" w:hAnsi="Arial"/>
          <w:color w:val="000000"/>
          <w:sz w:val="22"/>
          <w:szCs w:val="22"/>
        </w:rPr>
        <w:t>.</w:t>
      </w:r>
    </w:p>
    <w:p>
      <w:pPr>
        <w:pStyle w:val="Normal"/>
        <w:ind w:left="363" w:hanging="0"/>
        <w:jc w:val="both"/>
        <w:rPr>
          <w:rFonts w:ascii="Arial" w:hAnsi="Arial"/>
          <w:b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</w:r>
    </w:p>
    <w:p>
      <w:pPr>
        <w:pStyle w:val="Normal"/>
        <w:numPr>
          <w:ilvl w:val="1"/>
          <w:numId w:val="2"/>
        </w:numPr>
        <w:ind w:left="0" w:hanging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Privilégio mínimo</w:t>
      </w:r>
      <w:r>
        <w:rPr>
          <w:rFonts w:ascii="Arial" w:hAnsi="Arial"/>
          <w:color w:val="000000"/>
          <w:sz w:val="22"/>
          <w:szCs w:val="22"/>
        </w:rPr>
        <w:t xml:space="preserve">: princípio de segurança da informação que dita que as permissões a um recurso devem ser as mínimas indispensáveis para as finalidades legítimas. Deve se evitar a concessão de acesso maior do que o necessário para não expor o recurso a riscos supérfluos. 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09" w:top="1701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/>
    </w:pPr>
    <w:r>
      <w:rPr>
        <w:color w:val="808080"/>
      </w:rPr>
      <w:fldChar w:fldCharType="begin"/>
    </w:r>
    <w:r>
      <w:rPr>
        <w:color w:val="808080"/>
      </w:rPr>
      <w:instrText> PAGE </w:instrText>
    </w:r>
    <w:r>
      <w:rPr>
        <w:color w:val="808080"/>
      </w:rPr>
      <w:fldChar w:fldCharType="separate"/>
    </w:r>
    <w:r>
      <w:rPr>
        <w:color w:val="808080"/>
      </w:rPr>
      <w:t>3</w:t>
    </w:r>
    <w:r>
      <w:rPr>
        <w:color w:val="808080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>
        <w:lang w:val="pt-BR" w:eastAsia="pt-BR"/>
      </w:rPr>
    </w:pPr>
    <w:r>
      <w:rPr>
        <w:lang w:val="pt-BR" w:eastAsia="pt-BR"/>
      </w:rPr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635</wp:posOffset>
          </wp:positionH>
          <wp:positionV relativeFrom="paragraph">
            <wp:posOffset>86995</wp:posOffset>
          </wp:positionV>
          <wp:extent cx="2531110" cy="464820"/>
          <wp:effectExtent l="0" t="0" r="0" b="0"/>
          <wp:wrapTopAndBottom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4" t="-77" r="-14" b="-77"/>
                  <a:stretch>
                    <a:fillRect/>
                  </a:stretch>
                </pic:blipFill>
                <pic:spPr bwMode="auto">
                  <a:xfrm>
                    <a:off x="0" y="0"/>
                    <a:ext cx="2531110" cy="464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>
        <w:color w:val="808080"/>
        <w:lang w:eastAsia="pt-BR"/>
      </w:rPr>
    </w:pPr>
    <w:r>
      <w:rPr>
        <w:color w:val="808080"/>
        <w:lang w:eastAsia="pt-BR"/>
      </w:rPr>
    </w:r>
  </w:p>
  <w:p>
    <w:pPr>
      <w:pStyle w:val="Cabealho"/>
      <w:rPr>
        <w:color w:val="808080"/>
        <w:lang w:eastAsia="pt-BR"/>
      </w:rPr>
    </w:pPr>
    <w:r>
      <w:rPr>
        <w:color w:val="808080"/>
        <w:lang w:eastAsia="pt-BR"/>
      </w:rPr>
    </w:r>
  </w:p>
  <w:p>
    <w:pPr>
      <w:pStyle w:val="Cabealho"/>
      <w:jc w:val="both"/>
      <w:rPr>
        <w:color w:val="808080"/>
      </w:rPr>
    </w:pPr>
    <w:r>
      <w:rPr>
        <w:color w:val="808080"/>
      </w:rPr>
      <w:t>___________________________________________________________________________</w:t>
    </w:r>
  </w:p>
  <w:p>
    <w:pPr>
      <w:pStyle w:val="Cabealho"/>
      <w:jc w:val="right"/>
      <w:rPr>
        <w:rFonts w:ascii="Arial" w:hAnsi="Arial" w:cs="Arial"/>
        <w:color w:val="808080"/>
        <w:sz w:val="18"/>
        <w:szCs w:val="18"/>
      </w:rPr>
    </w:pPr>
    <w:r>
      <w:rPr>
        <w:rFonts w:cs="Arial" w:ascii="Arial" w:hAnsi="Arial"/>
        <w:color w:val="808080"/>
        <w:sz w:val="18"/>
        <w:szCs w:val="18"/>
      </w:rPr>
      <w:t>PROCURADORIA-GERAL DE JUSTIÇA</w:t>
    </w:r>
  </w:p>
  <w:p>
    <w:pPr>
      <w:pStyle w:val="Cabealho"/>
      <w:jc w:val="right"/>
      <w:rPr>
        <w:rFonts w:ascii="Arial" w:hAnsi="Arial" w:cs="Arial"/>
        <w:b/>
        <w:b/>
        <w:color w:val="808080"/>
        <w:sz w:val="18"/>
        <w:szCs w:val="18"/>
      </w:rPr>
    </w:pPr>
    <w:r>
      <w:rPr>
        <w:rFonts w:cs="Arial" w:ascii="Arial" w:hAnsi="Arial"/>
        <w:b/>
        <w:color w:val="808080"/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454"/>
        </w:tabs>
        <w:ind w:left="363" w:hanging="363"/>
      </w:pPr>
      <w:rPr/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4320" w:hanging="144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360" w:after="240"/>
      <w:outlineLvl w:val="0"/>
    </w:pPr>
    <w:rPr>
      <w:rFonts w:eastAsia="Calibri Light" w:cs="Arial"/>
      <w:b/>
      <w:bCs/>
      <w:caps/>
      <w:spacing w:val="4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ontepargpadro">
    <w:name w:val="Fonte parág. padrão"/>
    <w:qFormat/>
    <w:rPr/>
  </w:style>
  <w:style w:type="character" w:styleId="Fontepargpadro3">
    <w:name w:val="Fonte parág. padrão3"/>
    <w:qFormat/>
    <w:rPr/>
  </w:style>
  <w:style w:type="character" w:styleId="Fontepargpadro2">
    <w:name w:val="Fonte parág. padrão2"/>
    <w:qFormat/>
    <w:rPr/>
  </w:style>
  <w:style w:type="character" w:styleId="Fontepargpadro1">
    <w:name w:val="Fonte parág. padrão1"/>
    <w:qFormat/>
    <w:rPr/>
  </w:style>
  <w:style w:type="character" w:styleId="Caracteresdenotaderodap">
    <w:name w:val="Caracteres de nota de rodapé"/>
    <w:qFormat/>
    <w:rPr>
      <w:vertAlign w:val="superscript"/>
    </w:rPr>
  </w:style>
  <w:style w:type="character" w:styleId="Char">
    <w:name w:val="Char"/>
    <w:qFormat/>
    <w:rPr>
      <w:sz w:val="24"/>
      <w:szCs w:val="24"/>
    </w:rPr>
  </w:style>
  <w:style w:type="character" w:styleId="LinkdaInternet">
    <w:name w:val="Link da Internet"/>
    <w:rPr>
      <w:color w:val="000080"/>
      <w:u w:val="single"/>
    </w:rPr>
  </w:style>
  <w:style w:type="character" w:styleId="Nmerodepgina">
    <w:name w:val="Número de página"/>
    <w:basedOn w:val="Fontepargpadro3"/>
    <w:rPr/>
  </w:style>
  <w:style w:type="character" w:styleId="TextodebaloChar">
    <w:name w:val="Texto de balão Char"/>
    <w:qFormat/>
    <w:rPr>
      <w:rFonts w:ascii="Segoe UI" w:hAnsi="Segoe UI" w:cs="Segoe UI"/>
      <w:sz w:val="18"/>
      <w:szCs w:val="18"/>
      <w:lang w:eastAsia="zh-CN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jc w:val="center"/>
    </w:pPr>
    <w:rPr>
      <w:rFonts w:eastAsia="Calibri" w:cs="Arial"/>
      <w:b/>
      <w:bCs/>
      <w:sz w:val="52"/>
      <w:szCs w:val="52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3">
    <w:name w:val="Título3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tulo2">
    <w:name w:val="Título2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tulo11">
    <w:name w:val="Título1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paragraph" w:styleId="Notaderodap">
    <w:name w:val="Footnote Text"/>
    <w:basedOn w:val="Normal"/>
    <w:pPr/>
    <w:rPr>
      <w:sz w:val="20"/>
      <w:szCs w:val="20"/>
    </w:rPr>
  </w:style>
  <w:style w:type="paragraph" w:styleId="Textodebalo">
    <w:name w:val="Texto de balão"/>
    <w:basedOn w:val="Normal"/>
    <w:qFormat/>
    <w:pPr/>
    <w:rPr>
      <w:rFonts w:ascii="Segoe UI" w:hAnsi="Segoe UI" w:cs="Segoe UI"/>
      <w:sz w:val="18"/>
      <w:szCs w:val="18"/>
    </w:rPr>
  </w:style>
  <w:style w:type="paragraph" w:styleId="Standard">
    <w:name w:val="Standard"/>
    <w:qFormat/>
    <w:pPr>
      <w:widowControl w:val="false"/>
      <w:suppressAutoHyphens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pt-BR" w:bidi="ar-SA" w:eastAsia="zh-CN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PargrafodaLista">
    <w:name w:val="Parágrafo da Lista"/>
    <w:basedOn w:val="Normal"/>
    <w:qFormat/>
    <w:pPr>
      <w:ind w:left="708" w:hanging="0"/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95</TotalTime>
  <Application>LibreOffice/7.0.2.2$Windows_X86_64 LibreOffice_project/8349ace3c3162073abd90d81fd06dcfb6b36b994</Application>
  <Pages>3</Pages>
  <Words>1067</Words>
  <Characters>5789</Characters>
  <CharactersWithSpaces>6790</CharactersWithSpaces>
  <Paragraphs>48</Paragraphs>
  <Company>Ministério Público de Santa Catarina_x0000__x0000__x0000_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2021-03-19T12:54:00Z</dcterms:created>
  <dc:creator>bheise</dc:creator>
  <dc:description/>
  <dc:language>pt-BR</dc:language>
  <cp:lastModifiedBy/>
  <cp:lastPrinted>2021-03-01T15:31:00Z</cp:lastPrinted>
  <dcterms:modified xsi:type="dcterms:W3CDTF">2021-03-19T16:37:45Z</dcterms:modified>
  <cp:revision>4</cp:revision>
  <dc:subject/>
  <dc:title>Inquérito Civil 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Ministério Público de Santa Catarina_x0000__x0000__x0000_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